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Transition</w:t>
      </w:r>
      <w:r>
        <w:t xml:space="preserve"> </w:t>
      </w:r>
      <w:r>
        <w:t xml:space="preserve">to</w:t>
      </w:r>
      <w:r>
        <w:t xml:space="preserve"> </w:t>
      </w:r>
      <w:r>
        <w:t xml:space="preserve">Passive</w:t>
      </w:r>
      <w:r>
        <w:t xml:space="preserve"> </w:t>
      </w:r>
      <w:r>
        <w:t xml:space="preserve">Real</w:t>
      </w:r>
      <w:r>
        <w:t xml:space="preserve"> </w:t>
      </w:r>
      <w:r>
        <w:t xml:space="preserve">Estate</w:t>
      </w:r>
      <w:r>
        <w:t xml:space="preserve"> </w:t>
      </w:r>
      <w:r>
        <w:t xml:space="preserve">Investments</w:t>
      </w:r>
      <w:r>
        <w:t xml:space="preserve"> </w:t>
      </w:r>
      <w:r>
        <w:t xml:space="preserve">—</w:t>
      </w:r>
      <w:r>
        <w:t xml:space="preserve"> </w:t>
      </w:r>
      <w:r>
        <w:t xml:space="preserve">Property</w:t>
      </w:r>
      <w:r>
        <w:t xml:space="preserve"> </w:t>
      </w:r>
      <w:r>
        <w:t xml:space="preserve">Manager</w:t>
      </w:r>
      <w:r>
        <w:t xml:space="preserve"> </w:t>
      </w:r>
      <w:r>
        <w:t xml:space="preserve">Letter</w:t>
      </w:r>
      <w:r>
        <w:t xml:space="preserve"> </w:t>
      </w:r>
      <w:r>
        <w:t xml:space="preserve">to</w:t>
      </w:r>
      <w:r>
        <w:t xml:space="preserve"> </w:t>
      </w:r>
      <w:r>
        <w:t xml:space="preserve">Owner</w:t>
      </w:r>
      <w:r>
        <w:t xml:space="preserve"> </w:t>
      </w:r>
      <w:r>
        <w:t xml:space="preserve">Template</w:t>
      </w:r>
    </w:p>
    <w:tbl>
      <w:tblPr>
        <w:tblStyle w:val="Table"/>
        <w:tblW w:type="pct" w:w="5000"/>
        <w:tblLook w:firstRow="0" w:lastRow="0" w:firstColumn="0" w:lastColumn="0" w:noHBand="0" w:noVBand="0" w:val="0000"/>
        <w:jc w:val="start"/>
      </w:tblPr>
      <w:tblGrid>
        <w:gridCol w:w="7920"/>
      </w:tblGrid>
      <w:tr>
        <w:tc>
          <w:tcPr/>
          <w:tbl>
            <w:tblPr>
              <w:tblStyle w:val="Table"/>
              <w:tblW w:type="pct" w:w="5000"/>
              <w:tblLook w:firstRow="0" w:lastRow="0" w:firstColumn="0" w:lastColumn="0" w:noHBand="0" w:noVBand="0" w:val="0000"/>
              <w:jc w:val="start"/>
            </w:tblPr>
            <w:tblGrid>
              <w:gridCol w:w="7920"/>
            </w:tblGrid>
            <w:tr>
              <w:tc>
                <w:tcPr/>
                <w:tbl>
                  <w:tblPr>
                    <w:tblStyle w:val="Table"/>
                    <w:tblW w:type="pct" w:w="5000"/>
                    <w:tblLook w:firstRow="0" w:lastRow="0" w:firstColumn="0" w:lastColumn="0" w:noHBand="0" w:noVBand="0" w:val="0000"/>
                    <w:jc w:val="start"/>
                  </w:tblPr>
                  <w:tblGrid>
                    <w:gridCol w:w="7920"/>
                  </w:tblGrid>
                  <w:tr>
                    <w:tc>
                      <w:tcPr/>
                      <w:p>
                        <w:pPr>
                          <w:pStyle w:val="Heading1"/>
                          <w:jc w:val="left"/>
                          <w:jc w:val="left"/>
                          <w:jc w:val="center"/>
                        </w:pPr>
                        <w:bookmarkStart w:id="20" w:name="Xfe89f95040bac43808d4f092fc48d4150f121ef"/>
                        <w:r>
                          <w:t xml:space="preserve">Transition to Passive Real Estate Investments</w:t>
                        </w:r>
                        <w:bookmarkEnd w:id="20"/>
                      </w:p>
                      <w:p>
                        <w:pPr>
                          <w:jc w:val="left"/>
                          <w:jc w:val="left"/>
                          <w:jc w:val="center"/>
                        </w:pPr>
                        <w:r>
                          <w:t xml:space="preserve">Tax-Advantaged Strategies for Investment Property Owners</w:t>
                        </w:r>
                      </w:p>
                    </w:tc>
                  </w:tr>
                </w:tbl>
                <w:p/>
              </w:tc>
            </w:tr>
            <w:tr>
              <w:tc>
                <w:tcPr/>
                <w:p>
                  <w:pPr>
                    <w:jc w:val="left"/>
                    <w:jc w:val="center"/>
                  </w:pPr>
                  <w:r>
                    <w:t xml:space="preserve">Dear [Investor Client's Name],</w:t>
                  </w:r>
                </w:p>
              </w:tc>
            </w:tr>
            <w:tr>
              <w:tc>
                <w:tcPr/>
                <w:p>
                  <w:pPr>
                    <w:jc w:val="left"/>
                    <w:jc w:val="center"/>
                  </w:pPr>
                  <w:r>
                    <w:t xml:space="preserve">As your property manager, we understand the challenges of managing investment properties — handling tenants, maintenance, taxes, and the significant time commitment.</w:t>
                  </w:r>
                </w:p>
              </w:tc>
            </w:tr>
            <w:tr>
              <w:tc>
                <w:tcPr/>
                <w:tbl>
                  <w:tblPr>
                    <w:tblStyle w:val="Table"/>
                    <w:tblW w:type="auto" w:w="0"/>
                    <w:tblLook w:firstRow="0" w:lastRow="0" w:firstColumn="0" w:lastColumn="0" w:noHBand="0" w:noVBand="0" w:val="0000"/>
                    <w:jc w:val="start"/>
                  </w:tblPr>
                  <w:tblGrid>
                    <w:gridCol w:w="7920"/>
                  </w:tblGrid>
                  <w:tr>
                    <w:tc>
                      <w:tcPr/>
                      <w:p>
                        <w:pPr>
                          <w:pStyle w:val="Compact"/>
                          <w:jc w:val="left"/>
                          <w:jc w:val="left"/>
                          <w:jc w:val="center"/>
                        </w:pPr>
                        <w:r>
                          <w:t xml:space="preserve">The "Terrible T's" of property ownership — Tenants, Toilets, Trash, and Taxes — don't have to be permanent. If you're considering selling your investment property, there are strategies that may help you pursue your financial and estate planning goals while potentially deferring capital gains taxes.</w:t>
                        </w:r>
                      </w:p>
                    </w:tc>
                  </w:tr>
                </w:tbl>
                <w:p/>
              </w:tc>
            </w:tr>
            <w:tr>
              <w:tc>
                <w:tcPr/>
                <w:p>
                  <w:pPr>
                    <w:jc w:val="left"/>
                    <w:jc w:val="center"/>
                  </w:pPr>
                  <w:r>
                    <w:t xml:space="preserve">By listing your property with</w:t>
                  </w:r>
                  <w:r>
                    <w:t xml:space="preserve"> </w:t>
                  </w:r>
                  <w:r>
                    <w:rPr>
                      <w:bCs/>
                      <w:b/>
                    </w:rPr>
                    <w:t xml:space="preserve">[Property Manager/Realtor Name]</w:t>
                  </w:r>
                  <w:r>
                    <w:t xml:space="preserve">, you can explore a</w:t>
                  </w:r>
                  <w:r>
                    <w:t xml:space="preserve"> </w:t>
                  </w:r>
                  <w:r>
                    <w:rPr>
                      <w:bCs/>
                      <w:b/>
                    </w:rPr>
                    <w:t xml:space="preserve">1031 Exchange</w:t>
                  </w:r>
                  <w:r>
                    <w:t xml:space="preserve"> </w:t>
                  </w:r>
                  <w:r>
                    <w:t xml:space="preserve">to transition into passive, professionally managed real estate investments — without the headaches of active ownership.</w:t>
                  </w:r>
                </w:p>
              </w:tc>
            </w:tr>
            <w:tr>
              <w:tc>
                <w:tcPr/>
                <w:tbl>
                  <w:tblPr>
                    <w:tblStyle w:val="Table"/>
                    <w:tblW w:type="auto" w:w="0"/>
                    <w:tblLook w:firstRow="0" w:lastRow="0" w:firstColumn="0" w:lastColumn="0" w:noHBand="0" w:noVBand="0" w:val="0000"/>
                    <w:jc w:val="start"/>
                  </w:tblPr>
                  <w:tblGrid>
                    <w:gridCol w:w="7920"/>
                  </w:tblGrid>
                  <w:tr>
                    <w:tc>
                      <w:tcPr/>
                      <w:p>
                        <w:pPr>
                          <w:pStyle w:val="Compact"/>
                          <w:jc w:val="left"/>
                          <w:jc w:val="left"/>
                          <w:jc w:val="center"/>
                        </w:pPr>
                        <w:r>
                          <w:t xml:space="preserve">Potential Benefits</w:t>
                        </w:r>
                      </w:p>
                    </w:tc>
                  </w:tr>
                </w:tbl>
                <w:p/>
              </w:tc>
            </w:tr>
            <w:tr>
              <w:tc>
                <w:tcPr/>
                <w:tbl>
                  <w:tblPr>
                    <w:tblStyle w:val="Table"/>
                    <w:tblW w:type="auto" w:w="0"/>
                    <w:tblLook w:firstRow="0" w:lastRow="0" w:firstColumn="0" w:lastColumn="0" w:noHBand="0" w:noVBand="0" w:val="0000"/>
                    <w:jc w:val="start"/>
                  </w:tblPr>
                  <w:tblGrid>
                    <w:gridCol w:w="3960"/>
                    <w:gridCol w:w="3960"/>
                  </w:tblGrid>
                  <w:tr>
                    <w:tc>
                      <w:tcPr/>
                      <w:p>
                        <w:pPr>
                          <w:pStyle w:val="Compact"/>
                          <w:jc w:val="center"/>
                          <w:jc w:val="left"/>
                          <w:jc w:val="center"/>
                        </w:pPr>
                        <w:r>
                          <w:t xml:space="preserve">🛡️</w:t>
                        </w:r>
                      </w:p>
                    </w:tc>
                    <w:tc>
                      <w:tcPr/>
                      <w:p>
                        <w:pPr>
                          <w:pStyle w:val="Compact"/>
                          <w:jc w:val="left"/>
                          <w:jc w:val="left"/>
                          <w:jc w:val="center"/>
                        </w:pPr>
                        <w:r>
                          <w:rPr>
                            <w:bCs/>
                            <w:b/>
                          </w:rPr>
                          <w:t xml:space="preserve">Capital Gains Tax Deferral</w:t>
                        </w:r>
                        <w:r>
                          <w:t xml:space="preserve"> </w:t>
                        </w:r>
                        <w:r>
                          <w:t xml:space="preserve">A properly structured 1031 Exchange may allow you to defer federal and state capital gains taxes by reinvesting sale proceeds into qualifying like-kind real estate investments.</w:t>
                        </w:r>
                      </w:p>
                    </w:tc>
                  </w:tr>
                </w:tbl>
                <w:p/>
                <w:tbl>
                  <w:tblPr>
                    <w:tblStyle w:val="Table"/>
                    <w:tblW w:type="auto" w:w="0"/>
                    <w:tblLook w:firstRow="0" w:lastRow="0" w:firstColumn="0" w:lastColumn="0" w:noHBand="0" w:noVBand="0" w:val="0000"/>
                    <w:jc w:val="start"/>
                  </w:tblPr>
                  <w:tblGrid>
                    <w:gridCol w:w="3960"/>
                    <w:gridCol w:w="3960"/>
                  </w:tblGrid>
                  <w:tr>
                    <w:tc>
                      <w:tcPr/>
                      <w:p>
                        <w:pPr>
                          <w:pStyle w:val="Compact"/>
                          <w:jc w:val="center"/>
                          <w:jc w:val="left"/>
                          <w:jc w:val="center"/>
                        </w:pPr>
                        <w:r>
                          <w:t xml:space="preserve">💰</w:t>
                        </w:r>
                      </w:p>
                    </w:tc>
                    <w:tc>
                      <w:tcPr/>
                      <w:p>
                        <w:pPr>
                          <w:pStyle w:val="Compact"/>
                          <w:jc w:val="left"/>
                          <w:jc w:val="left"/>
                          <w:jc w:val="center"/>
                        </w:pPr>
                        <w:r>
                          <w:rPr>
                            <w:bCs/>
                            <w:b/>
                          </w:rPr>
                          <w:t xml:space="preserve">Passive Income Potential</w:t>
                        </w:r>
                        <w:r>
                          <w:t xml:space="preserve"> </w:t>
                        </w:r>
                        <w:r>
                          <w:t xml:space="preserve">Certain investment structures are designed to provide regular distributions, though amounts will vary based on the performance of the underlying assets and are not guaranteed.</w:t>
                        </w:r>
                      </w:p>
                    </w:tc>
                  </w:tr>
                </w:tbl>
                <w:p/>
                <w:tbl>
                  <w:tblPr>
                    <w:tblStyle w:val="Table"/>
                    <w:tblW w:type="auto" w:w="0"/>
                    <w:tblLook w:firstRow="0" w:lastRow="0" w:firstColumn="0" w:lastColumn="0" w:noHBand="0" w:noVBand="0" w:val="0000"/>
                    <w:jc w:val="start"/>
                  </w:tblPr>
                  <w:tblGrid>
                    <w:gridCol w:w="3960"/>
                    <w:gridCol w:w="3960"/>
                  </w:tblGrid>
                  <w:tr>
                    <w:tc>
                      <w:tcPr/>
                      <w:p>
                        <w:pPr>
                          <w:pStyle w:val="Compact"/>
                          <w:jc w:val="center"/>
                          <w:jc w:val="left"/>
                          <w:jc w:val="center"/>
                        </w:pPr>
                        <w:r>
                          <w:t xml:space="preserve">📈</w:t>
                        </w:r>
                      </w:p>
                    </w:tc>
                    <w:tc>
                      <w:tcPr/>
                      <w:p>
                        <w:pPr>
                          <w:pStyle w:val="Compact"/>
                          <w:jc w:val="left"/>
                          <w:jc w:val="left"/>
                          <w:jc w:val="center"/>
                        </w:pPr>
                        <w:r>
                          <w:rPr>
                            <w:bCs/>
                            <w:b/>
                          </w:rPr>
                          <w:t xml:space="preserve">Potential Equity Growth</w:t>
                        </w:r>
                        <w:r>
                          <w:t xml:space="preserve"> </w:t>
                        </w:r>
                        <w:r>
                          <w:t xml:space="preserve">Professionally managed commercial real estate may offer appreciation over time, without the burden of active property management. However, real estate values can also decline.</w:t>
                        </w:r>
                      </w:p>
                    </w:tc>
                  </w:tr>
                </w:tbl>
                <w:p/>
                <w:tbl>
                  <w:tblPr>
                    <w:tblStyle w:val="Table"/>
                    <w:tblW w:type="auto" w:w="0"/>
                    <w:tblLook w:firstRow="0" w:lastRow="0" w:firstColumn="0" w:lastColumn="0" w:noHBand="0" w:noVBand="0" w:val="0000"/>
                    <w:jc w:val="start"/>
                  </w:tblPr>
                  <w:tblGrid>
                    <w:gridCol w:w="3960"/>
                    <w:gridCol w:w="3960"/>
                  </w:tblGrid>
                  <w:tr>
                    <w:tc>
                      <w:tcPr/>
                      <w:p>
                        <w:pPr>
                          <w:pStyle w:val="Compact"/>
                          <w:jc w:val="center"/>
                          <w:jc w:val="left"/>
                          <w:jc w:val="center"/>
                        </w:pPr>
                        <w:r>
                          <w:t xml:space="preserve">👨‍👩‍👧‍👦</w:t>
                        </w:r>
                      </w:p>
                    </w:tc>
                    <w:tc>
                      <w:tcPr/>
                      <w:p>
                        <w:pPr>
                          <w:pStyle w:val="Compact"/>
                          <w:jc w:val="left"/>
                          <w:jc w:val="left"/>
                          <w:jc w:val="center"/>
                        </w:pPr>
                        <w:r>
                          <w:rPr>
                            <w:bCs/>
                            <w:b/>
                          </w:rPr>
                          <w:t xml:space="preserve">Estate Planning Benefits</w:t>
                        </w:r>
                        <w:r>
                          <w:t xml:space="preserve"> </w:t>
                        </w:r>
                        <w:r>
                          <w:t xml:space="preserve">Many of these investment structures allow you to pass divisible shares to heirs, who may receive a step-up in cost basis, potentially simplifying wealth transfer to the next generation.</w:t>
                        </w:r>
                      </w:p>
                    </w:tc>
                  </w:tr>
                </w:tbl>
                <w:p/>
              </w:tc>
            </w:tr>
            <w:tr>
              <w:tc>
                <w:tcPr/>
                <w:tbl>
                  <w:tblPr>
                    <w:tblStyle w:val="Table"/>
                    <w:tblW w:type="auto" w:w="0"/>
                    <w:tblLook w:firstRow="0" w:lastRow="0" w:firstColumn="0" w:lastColumn="0" w:noHBand="0" w:noVBand="0" w:val="0000"/>
                    <w:jc w:val="start"/>
                  </w:tblPr>
                  <w:tblGrid>
                    <w:gridCol w:w="7920"/>
                  </w:tblGrid>
                  <w:tr>
                    <w:tc>
                      <w:tcPr/>
                      <w:p>
                        <w:pPr>
                          <w:pStyle w:val="Compact"/>
                          <w:jc w:val="left"/>
                          <w:jc w:val="left"/>
                          <w:jc w:val="center"/>
                        </w:pPr>
                        <w:r>
                          <w:t xml:space="preserve">Why List with Us?</w:t>
                        </w:r>
                      </w:p>
                    </w:tc>
                  </w:tr>
                </w:tbl>
                <w:p/>
              </w:tc>
            </w:tr>
            <w:tr>
              <w:tc>
                <w:tcPr/>
                <w:p>
                  <w:pPr>
                    <w:jc w:val="left"/>
                    <w:jc w:val="center"/>
                  </w:pPr>
                  <w:r>
                    <w:t xml:space="preserve">Many investors find traditional 1031 Exchanges challenging — the</w:t>
                  </w:r>
                  <w:r>
                    <w:t xml:space="preserve"> </w:t>
                  </w:r>
                  <w:r>
                    <w:rPr>
                      <w:bCs/>
                      <w:b/>
                    </w:rPr>
                    <w:t xml:space="preserve">45-day identification period</w:t>
                  </w:r>
                  <w:r>
                    <w:t xml:space="preserve">, the need to match debt and equity, or the risk of taxable "boot." Some even accept a tax hit just to avoid the complexity of acquiring replacement properties.</w:t>
                  </w:r>
                </w:p>
              </w:tc>
            </w:tr>
            <w:tr>
              <w:tc>
                <w:tcPr/>
                <w:p>
                  <w:pPr>
                    <w:jc w:val="left"/>
                    <w:jc w:val="center"/>
                  </w:pPr>
                  <w:r>
                    <w:t xml:space="preserve">Our trusted partner,</w:t>
                  </w:r>
                  <w:r>
                    <w:t xml:space="preserve"> </w:t>
                  </w:r>
                  <w:r>
                    <w:rPr>
                      <w:bCs/>
                      <w:b/>
                    </w:rPr>
                    <w:t xml:space="preserve">Grace Capital Management</w:t>
                  </w:r>
                  <w:r>
                    <w:t xml:space="preserve">, specializes in alternative investment strategies designed for investors navigating these exact situations:</w:t>
                  </w:r>
                </w:p>
              </w:tc>
            </w:tr>
            <w:tr>
              <w:tc>
                <w:tcPr/>
                <w:tbl>
                  <w:tblPr>
                    <w:tblStyle w:val="Table"/>
                    <w:tblW w:type="pct" w:w="5000"/>
                    <w:tblLook w:firstRow="0" w:lastRow="0" w:firstColumn="0" w:lastColumn="0" w:noHBand="0" w:noVBand="0" w:val="0000"/>
                    <w:jc w:val="start"/>
                  </w:tblPr>
                  <w:tblGrid>
                    <w:gridCol w:w="7920"/>
                  </w:tblGrid>
                  <w:tr>
                    <w:tc>
                      <w:tcPr/>
                      <w:p>
                        <w:pPr>
                          <w:pStyle w:val="Compact"/>
                          <w:jc w:val="left"/>
                          <w:jc w:val="left"/>
                          <w:jc w:val="center"/>
                        </w:pPr>
                        <w:r>
                          <w:rPr>
                            <w:bCs/>
                            <w:b/>
                          </w:rPr>
                          <w:t xml:space="preserve">Delaware Statutory Trusts (DSTs)</w:t>
                        </w:r>
                      </w:p>
                      <w:p>
                        <w:pPr>
                          <w:jc w:val="left"/>
                          <w:jc w:val="left"/>
                          <w:jc w:val="center"/>
                        </w:pPr>
                        <w:r>
                          <w:t xml:space="preserve">Fractional ownership interests in professionally managed commercial real estate portfolios, designed to provide passive income potential and possible appreciation. DSTs are 1031 Exchange-eligible and remove the responsibilities of active property management.</w:t>
                        </w:r>
                      </w:p>
                    </w:tc>
                  </w:tr>
                </w:tbl>
                <w:p/>
              </w:tc>
            </w:tr>
            <w:tr>
              <w:tc>
                <w:tcPr/>
                <w:tbl>
                  <w:tblPr>
                    <w:tblStyle w:val="Table"/>
                    <w:tblW w:type="pct" w:w="5000"/>
                    <w:tblLook w:firstRow="0" w:lastRow="0" w:firstColumn="0" w:lastColumn="0" w:noHBand="0" w:noVBand="0" w:val="0000"/>
                    <w:jc w:val="start"/>
                  </w:tblPr>
                  <w:tblGrid>
                    <w:gridCol w:w="7920"/>
                  </w:tblGrid>
                  <w:tr>
                    <w:tc>
                      <w:tcPr/>
                      <w:p>
                        <w:pPr>
                          <w:pStyle w:val="Compact"/>
                          <w:jc w:val="left"/>
                          <w:jc w:val="left"/>
                          <w:jc w:val="center"/>
                        </w:pPr>
                        <w:r>
                          <w:rPr>
                            <w:bCs/>
                            <w:b/>
                          </w:rPr>
                          <w:t xml:space="preserve">Tenant-in-Common (TIC) Investments</w:t>
                        </w:r>
                      </w:p>
                      <w:p>
                        <w:pPr>
                          <w:jc w:val="left"/>
                          <w:jc w:val="left"/>
                          <w:jc w:val="center"/>
                        </w:pPr>
                        <w:r>
                          <w:t xml:space="preserve">Co-ownership of real estate with other investors, offering shared professional management and potential tax deferral through a 1031 Exchange.</w:t>
                        </w:r>
                      </w:p>
                    </w:tc>
                  </w:tr>
                </w:tbl>
                <w:p/>
              </w:tc>
            </w:tr>
            <w:tr>
              <w:tc>
                <w:tcPr/>
                <w:tbl>
                  <w:tblPr>
                    <w:tblStyle w:val="Table"/>
                    <w:tblW w:type="pct" w:w="5000"/>
                    <w:tblLook w:firstRow="0" w:lastRow="0" w:firstColumn="0" w:lastColumn="0" w:noHBand="0" w:noVBand="0" w:val="0000"/>
                    <w:jc w:val="start"/>
                  </w:tblPr>
                  <w:tblGrid>
                    <w:gridCol w:w="7920"/>
                  </w:tblGrid>
                  <w:tr>
                    <w:tc>
                      <w:tcPr/>
                      <w:p>
                        <w:pPr>
                          <w:pStyle w:val="Compact"/>
                          <w:jc w:val="left"/>
                          <w:jc w:val="left"/>
                          <w:jc w:val="center"/>
                        </w:pPr>
                        <w:r>
                          <w:rPr>
                            <w:bCs/>
                            <w:b/>
                          </w:rPr>
                          <w:t xml:space="preserve">721 UpREITs</w:t>
                        </w:r>
                      </w:p>
                      <w:p>
                        <w:pPr>
                          <w:jc w:val="left"/>
                          <w:jc w:val="left"/>
                          <w:jc w:val="center"/>
                        </w:pPr>
                        <w:r>
                          <w:t xml:space="preserve">Exchange property interests for operating partnership units in a Real Estate Investment Trust (REIT), which may provide diversification and long-term growth potential.</w:t>
                        </w:r>
                      </w:p>
                    </w:tc>
                  </w:tr>
                </w:tbl>
                <w:p/>
              </w:tc>
            </w:tr>
            <w:tr>
              <w:tc>
                <w:tcPr/>
                <w:tbl>
                  <w:tblPr>
                    <w:tblStyle w:val="Table"/>
                    <w:tblW w:type="auto" w:w="0"/>
                    <w:tblLook w:firstRow="0" w:lastRow="0" w:firstColumn="0" w:lastColumn="0" w:noHBand="0" w:noVBand="0" w:val="0000"/>
                    <w:jc w:val="start"/>
                  </w:tblPr>
                  <w:tblGrid>
                    <w:gridCol w:w="7920"/>
                  </w:tblGrid>
                  <w:tr>
                    <w:tc>
                      <w:tcPr/>
                      <w:p>
                        <w:pPr>
                          <w:pStyle w:val="Compact"/>
                          <w:jc w:val="left"/>
                          <w:jc w:val="left"/>
                          <w:jc w:val="center"/>
                        </w:pPr>
                        <w:r>
                          <w:rPr>
                            <w:bCs/>
                            <w:b/>
                          </w:rPr>
                          <w:t xml:space="preserve">Beyond Real Estate:</w:t>
                        </w:r>
                        <w:r>
                          <w:t xml:space="preserve"> </w:t>
                        </w:r>
                        <w:r>
                          <w:t xml:space="preserve">For investors interested in tax-advantaged diversification, Grace Capital Management also offers access to</w:t>
                        </w:r>
                        <w:r>
                          <w:t xml:space="preserve"> </w:t>
                        </w:r>
                        <w:r>
                          <w:rPr>
                            <w:bCs/>
                            <w:b/>
                          </w:rPr>
                          <w:t xml:space="preserve">oil and gas programs</w:t>
                        </w:r>
                        <w:r>
                          <w:t xml:space="preserve">, which may provide income potential along with certain tax benefits including intangible drilling cost deductions.</w:t>
                        </w:r>
                        <w:r>
                          <w:t xml:space="preserve"> </w:t>
                        </w:r>
                        <w:r>
                          <w:rPr>
                            <w:iCs/>
                            <w:i/>
                          </w:rPr>
                          <w:t xml:space="preserve">(These are securities-based investments, separate from the 1031 Exchange process.)</w:t>
                        </w:r>
                      </w:p>
                    </w:tc>
                  </w:tr>
                </w:tbl>
                <w:p/>
              </w:tc>
            </w:tr>
            <w:tr>
              <w:tc>
                <w:tcPr/>
                <w:p>
                  <w:pPr>
                    <w:jc w:val="left"/>
                    <w:jc w:val="center"/>
                  </w:pPr>
                  <w:r>
                    <w:t xml:space="preserve">These strategies can serve as a</w:t>
                  </w:r>
                  <w:r>
                    <w:t xml:space="preserve"> </w:t>
                  </w:r>
                  <w:r>
                    <w:rPr>
                      <w:bCs/>
                      <w:b/>
                    </w:rPr>
                    <w:t xml:space="preserve">backup plan</w:t>
                  </w:r>
                  <w:r>
                    <w:t xml:space="preserve"> </w:t>
                  </w:r>
                  <w:r>
                    <w:t xml:space="preserve">if replacement property purchases fall through, or as a</w:t>
                  </w:r>
                  <w:r>
                    <w:t xml:space="preserve"> </w:t>
                  </w:r>
                  <w:r>
                    <w:rPr>
                      <w:bCs/>
                      <w:b/>
                    </w:rPr>
                    <w:t xml:space="preserve">primary approach</w:t>
                  </w:r>
                  <w:r>
                    <w:t xml:space="preserve"> </w:t>
                  </w:r>
                  <w:r>
                    <w:t xml:space="preserve">for investors seeking to exit active management. They may also support estate planning goals — particularly for investors focused on preserving and transferring wealth to future generations.</w:t>
                  </w:r>
                </w:p>
              </w:tc>
            </w:tr>
            <w:tr>
              <w:tc>
                <w:tcPr/>
                <w:tbl>
                  <w:tblPr>
                    <w:tblStyle w:val="Table"/>
                    <w:tblW w:type="pct" w:w="5000"/>
                    <w:tblLook w:firstRow="0" w:lastRow="0" w:firstColumn="0" w:lastColumn="0" w:noHBand="0" w:noVBand="0" w:val="0000"/>
                    <w:jc w:val="start"/>
                  </w:tblPr>
                  <w:tblGrid>
                    <w:gridCol w:w="7920"/>
                  </w:tblGrid>
                  <w:tr>
                    <w:tc>
                      <w:tcPr/>
                      <w:p>
                        <w:pPr>
                          <w:jc w:val="center"/>
                          <w:jc w:val="left"/>
                          <w:jc w:val="center"/>
                        </w:pPr>
                        <w:r>
                          <w:rPr>
                            <w:bCs/>
                            <w:b/>
                          </w:rPr>
                          <w:t xml:space="preserve">Ready to explore your options?</w:t>
                        </w:r>
                      </w:p>
                      <w:p>
                        <w:pPr>
                          <w:jc w:val="center"/>
                          <w:jc w:val="left"/>
                          <w:jc w:val="center"/>
                        </w:pPr>
                        <w:r>
                          <w:t xml:space="preserve">Schedule a no-obligation conversation to learn whether these strategies may be appropriate for your situation.</w:t>
                        </w:r>
                      </w:p>
                    </w:tc>
                  </w:tr>
                </w:tbl>
                <w:p/>
              </w:tc>
            </w:tr>
            <w:tr>
              <w:tc>
                <w:tcPr/>
                <w:p>
                  <w:pPr>
                    <w:jc w:val="left"/>
                    <w:jc w:val="center"/>
                  </w:pPr>
                  <w:r>
                    <w:t xml:space="preserve">Sincerely,</w:t>
                  </w:r>
                </w:p>
                <w:p>
                  <w:pPr>
                    <w:jc w:val="left"/>
                    <w:jc w:val="center"/>
                  </w:pPr>
                  <w:r>
                    <w:rPr>
                      <w:bCs/>
                      <w:b/>
                    </w:rPr>
                    <w:t xml:space="preserve">[Property Manager/Realtor Name]</w:t>
                  </w:r>
                  <w:r>
                    <w:br/>
                  </w:r>
                  <w:r>
                    <w:t xml:space="preserve">[Company Name]</w:t>
                  </w:r>
                  <w:r>
                    <w:br/>
                  </w:r>
                  <w:r>
                    <w:t xml:space="preserve">[Phone]  |  [Email]</w:t>
                  </w:r>
                </w:p>
              </w:tc>
            </w:tr>
            <w:tr>
              <w:tc>
                <w:tcPr/>
                <w:tbl>
                  <w:tblPr>
                    <w:tblStyle w:val="Table"/>
                    <w:tblW w:type="pct" w:w="5000"/>
                    <w:tblLook w:firstRow="0" w:lastRow="0" w:firstColumn="0" w:lastColumn="0" w:noHBand="0" w:noVBand="0" w:val="0000"/>
                    <w:jc w:val="start"/>
                  </w:tblPr>
                  <w:tblGrid>
                    <w:gridCol w:w="7920"/>
                  </w:tblGrid>
                  <w:tr>
                    <w:tc>
                      <w:tcPr/>
                      <w:tbl>
                        <w:tblPr>
                          <w:tblStyle w:val="Table"/>
                          <w:tblW w:type="pct" w:w="5000"/>
                          <w:tblLook w:firstRow="0" w:lastRow="0" w:firstColumn="0" w:lastColumn="0" w:noHBand="0" w:noVBand="0" w:val="0000"/>
                          <w:jc w:val="start"/>
                        </w:tblPr>
                        <w:tblGrid>
                          <w:gridCol w:w="3960"/>
                          <w:gridCol w:w="3960"/>
                        </w:tblGrid>
                        <w:tr>
                          <w:tc>
                            <w:tcPr/>
                            <w:p>
                              <w:pPr>
                                <w:jc w:val="left"/>
                                <w:jc w:val="left"/>
                                <w:jc w:val="left"/>
                                <w:jc w:val="center"/>
                              </w:pPr>
                              <w:r>
                                <w:t xml:space="preserve">Our Investment Partner</w:t>
                              </w:r>
                            </w:p>
                            <w:p>
                              <w:pPr>
                                <w:jc w:val="left"/>
                                <w:jc w:val="left"/>
                                <w:jc w:val="left"/>
                                <w:jc w:val="center"/>
                              </w:pPr>
                              <w:r>
                                <w:t xml:space="preserve">Grace Capital Management</w:t>
                              </w:r>
                            </w:p>
                            <w:p>
                              <w:pPr>
                                <w:jc w:val="left"/>
                                <w:jc w:val="left"/>
                                <w:jc w:val="left"/>
                                <w:jc w:val="center"/>
                              </w:pPr>
                              <w:r>
                                <w:rPr>
                                  <w:bCs/>
                                  <w:b/>
                                </w:rPr>
                                <w:t xml:space="preserve">Earl Proeger</w:t>
                              </w:r>
                              <w:r>
                                <w:t xml:space="preserve"> </w:t>
                              </w:r>
                              <w:r>
                                <w:t xml:space="preserve"> |  Wealth Advisor</w:t>
                              </w:r>
                            </w:p>
                            <w:p>
                              <w:pPr>
                                <w:jc w:val="left"/>
                                <w:jc w:val="left"/>
                                <w:jc w:val="left"/>
                                <w:jc w:val="center"/>
                              </w:pPr>
                              <w:r>
                                <w:t xml:space="preserve">Series 7, Series 63, SIE Licensed</w:t>
                              </w:r>
                            </w:p>
                            <w:p>
                              <w:pPr>
                                <w:jc w:val="left"/>
                                <w:jc w:val="left"/>
                                <w:jc w:val="left"/>
                                <w:jc w:val="center"/>
                              </w:pPr>
                              <w:r>
                                <w:t xml:space="preserve">NMLS #1159073</w:t>
                              </w:r>
                            </w:p>
                          </w:tc>
                          <w:tc>
                            <w:tcPr/>
                            <w:p>
                              <w:pPr>
                                <w:jc w:val="right"/>
                                <w:jc w:val="left"/>
                                <w:jc w:val="left"/>
                                <w:jc w:val="center"/>
                              </w:pPr>
                              <w:r>
                                <w:t xml:space="preserve">📞</w:t>
                              </w:r>
                              <w:r>
                                <w:t xml:space="preserve"> </w:t>
                              </w:r>
                              <w:hyperlink r:id="rId21">
                                <w:r>
                                  <w:rPr>
                                    <w:rStyle w:val="Hyperlink"/>
                                  </w:rPr>
                                  <w:t xml:space="preserve">(512) 293-7731</w:t>
                                </w:r>
                              </w:hyperlink>
                            </w:p>
                            <w:p>
                              <w:pPr>
                                <w:jc w:val="right"/>
                                <w:jc w:val="left"/>
                                <w:jc w:val="left"/>
                                <w:jc w:val="center"/>
                              </w:pPr>
                              <w:r>
                                <w:t xml:space="preserve">📧</w:t>
                              </w:r>
                              <w:r>
                                <w:t xml:space="preserve"> </w:t>
                              </w:r>
                              <w:hyperlink r:id="rId22">
                                <w:r>
                                  <w:rPr>
                                    <w:rStyle w:val="Hyperlink"/>
                                  </w:rPr>
                                  <w:t xml:space="preserve">earl@grace-cap.com</w:t>
                                </w:r>
                              </w:hyperlink>
                            </w:p>
                            <w:p>
                              <w:pPr>
                                <w:jc w:val="right"/>
                                <w:jc w:val="left"/>
                                <w:jc w:val="left"/>
                                <w:jc w:val="center"/>
                              </w:pPr>
                              <w:r>
                                <w:t xml:space="preserve">🌐</w:t>
                              </w:r>
                              <w:r>
                                <w:t xml:space="preserve"> </w:t>
                              </w:r>
                              <w:hyperlink r:id="rId23">
                                <w:r>
                                  <w:rPr>
                                    <w:rStyle w:val="Hyperlink"/>
                                  </w:rPr>
                                  <w:t xml:space="preserve">1031WithGrace.com</w:t>
                                </w:r>
                              </w:hyperlink>
                            </w:p>
                            <w:p>
                              <w:pPr>
                                <w:jc w:val="right"/>
                                <w:jc w:val="left"/>
                                <w:jc w:val="left"/>
                                <w:jc w:val="center"/>
                              </w:pPr>
                              <w:r>
                                <w:t xml:space="preserve">Specializing in tax-advantaged</w:t>
                              </w:r>
                              <w:r>
                                <w:br/>
                              </w:r>
                              <w:r>
                                <w:t xml:space="preserve">alternative investments for</w:t>
                              </w:r>
                              <w:r>
                                <w:br/>
                              </w:r>
                              <w:r>
                                <w:t xml:space="preserve">accredited investors</w:t>
                              </w:r>
                            </w:p>
                          </w:tc>
                        </w:tr>
                      </w:tbl>
                      <w:p/>
                    </w:tc>
                  </w:tr>
                </w:tbl>
                <w:p/>
              </w:tc>
            </w:tr>
            <w:tr>
              <w:tc>
                <w:tcPr/>
                <w:p>
                  <w:pPr>
                    <w:jc w:val="left"/>
                    <w:jc w:val="center"/>
                  </w:pPr>
                  <w:r>
                    <w:rPr>
                      <w:bCs/>
                      <w:b/>
                    </w:rPr>
                    <w:t xml:space="preserve">Important Disclosures:</w:t>
                  </w:r>
                  <w:r>
                    <w:t xml:space="preserve"> </w:t>
                  </w:r>
                  <w:r>
                    <w:t xml:space="preserve">This communication is for informational purposes only and does not constitute an offer to sell or a solicitation of an offer to buy any security. Investments in DSTs, TICs, 721 UpREITs, and oil and gas programs involve significant risks, including potential loss of principal, illiquidity, and lack of diversification. Past performance is not indicative of future results. Distributions are not guaranteed and may be funded from sources other than cash flow from operations. 1031 Exchange transactions must comply with IRC Section 1031 requirements; tax deferral is not guaranteed. Investors should consult with their own tax, legal, and financial advisors before making any investment decisions. Securities offered through properly licensed representatives. Grace Capital Management and [Property Manager/Realtor Name] are not affiliated entities.</w:t>
                  </w:r>
                </w:p>
              </w:tc>
            </w:tr>
          </w:tbl>
          <w:p/>
        </w:tc>
      </w:tr>
    </w:tbl>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1031WithGrace.com" TargetMode="External" /><Relationship Type="http://schemas.openxmlformats.org/officeDocument/2006/relationships/hyperlink" Id="rId22" Target="mailto:earl@grace-cap.com" TargetMode="External" /><Relationship Type="http://schemas.openxmlformats.org/officeDocument/2006/relationships/hyperlink" Id="rId21" Target="tel:5122937731" TargetMode="External" /></Relationships>
</file>

<file path=word/_rels/footnotes.xml.rels><?xml version="1.0" encoding="UTF-8"?><Relationships xmlns="http://schemas.openxmlformats.org/package/2006/relationships"><Relationship Type="http://schemas.openxmlformats.org/officeDocument/2006/relationships/hyperlink" Id="rId23" Target="https://www.1031WithGrace.com" TargetMode="External" /><Relationship Type="http://schemas.openxmlformats.org/officeDocument/2006/relationships/hyperlink" Id="rId22" Target="mailto:earl@grace-cap.com" TargetMode="External" /><Relationship Type="http://schemas.openxmlformats.org/officeDocument/2006/relationships/hyperlink" Id="rId21" Target="tel:51229377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Passive Real Estate Investments — Property Manager Letter to Owner Template</dc:title>
  <dc:creator/>
  <cp:keywords/>
  <dcterms:created xsi:type="dcterms:W3CDTF">2026-03-27T21:25:49Z</dcterms:created>
  <dcterms:modified xsi:type="dcterms:W3CDTF">2026-03-27T21:25:49Z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